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1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3062"/>
        <w:gridCol w:w="4780"/>
        <w:gridCol w:w="2219"/>
      </w:tblGrid>
      <w:tr w:rsidR="001572C3" w:rsidRPr="00E07B6B" w:rsidTr="006C5138">
        <w:trPr>
          <w:trHeight w:val="360"/>
          <w:jc w:val="center"/>
        </w:trPr>
        <w:tc>
          <w:tcPr>
            <w:tcW w:w="306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572C3" w:rsidRPr="00066362" w:rsidRDefault="00B51334" w:rsidP="001572C3">
            <w:pPr>
              <w:pStyle w:val="AllCapsHeading"/>
              <w:rPr>
                <w:lang w:val="fr-FR"/>
              </w:rPr>
            </w:pPr>
            <w:r>
              <w:rPr>
                <w:noProof/>
                <w:sz w:val="16"/>
                <w:szCs w:val="16"/>
                <w:lang w:val="fr-FR" w:eastAsia="fr-FR" w:bidi="ar-SA"/>
              </w:rPr>
              <w:drawing>
                <wp:inline distT="0" distB="0" distL="0" distR="0">
                  <wp:extent cx="1800225" cy="542925"/>
                  <wp:effectExtent l="19050" t="0" r="9525" b="0"/>
                  <wp:docPr id="1" name="Image 1" descr="Light_grey_5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ght_grey_5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9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572C3" w:rsidRPr="00E07B6B" w:rsidRDefault="00E07B6B" w:rsidP="00E07B6B">
            <w:pPr>
              <w:rPr>
                <w:sz w:val="32"/>
                <w:szCs w:val="32"/>
                <w:lang w:val="en-US"/>
              </w:rPr>
            </w:pPr>
            <w:r w:rsidRPr="00E07B6B">
              <w:rPr>
                <w:b/>
                <w:smallCaps/>
                <w:sz w:val="32"/>
                <w:szCs w:val="32"/>
                <w:lang w:val="en-US"/>
              </w:rPr>
              <w:t>IT Architecture specifications for Peru logistic module</w:t>
            </w:r>
          </w:p>
        </w:tc>
      </w:tr>
      <w:tr w:rsidR="00121039" w:rsidRPr="00E07B6B" w:rsidTr="006C5138">
        <w:trPr>
          <w:trHeight w:val="229"/>
          <w:jc w:val="center"/>
        </w:trPr>
        <w:tc>
          <w:tcPr>
            <w:tcW w:w="10061" w:type="dxa"/>
            <w:gridSpan w:val="3"/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E20CB9" w:rsidRPr="00E07B6B" w:rsidRDefault="00E20CB9">
            <w:pPr>
              <w:rPr>
                <w:lang w:val="en-US"/>
              </w:rPr>
            </w:pPr>
          </w:p>
        </w:tc>
      </w:tr>
      <w:tr w:rsidR="00121039" w:rsidRPr="00066362" w:rsidTr="006C5138">
        <w:trPr>
          <w:trHeight w:val="360"/>
          <w:jc w:val="center"/>
        </w:trPr>
        <w:tc>
          <w:tcPr>
            <w:tcW w:w="306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121039" w:rsidRPr="00066362" w:rsidRDefault="00A95F19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Document Type</w:t>
            </w:r>
          </w:p>
        </w:tc>
        <w:tc>
          <w:tcPr>
            <w:tcW w:w="6999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21039" w:rsidRPr="00066362" w:rsidRDefault="00E07B6B">
            <w:pPr>
              <w:rPr>
                <w:lang w:val="fr-FR"/>
              </w:rPr>
            </w:pPr>
            <w:r>
              <w:rPr>
                <w:lang w:val="fr-FR"/>
              </w:rPr>
              <w:t>Architecture document</w:t>
            </w:r>
          </w:p>
        </w:tc>
      </w:tr>
      <w:tr w:rsidR="00A807BA" w:rsidRPr="00066362" w:rsidTr="006C5138">
        <w:trPr>
          <w:trHeight w:val="360"/>
          <w:jc w:val="center"/>
        </w:trPr>
        <w:tc>
          <w:tcPr>
            <w:tcW w:w="3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A807BA" w:rsidRPr="00066362" w:rsidRDefault="00A807BA" w:rsidP="00A807BA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699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A807BA" w:rsidRPr="00066362" w:rsidRDefault="00E8253A" w:rsidP="00E8253A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A649A7">
              <w:rPr>
                <w:lang w:val="fr-FR"/>
              </w:rPr>
              <w:t>.</w:t>
            </w:r>
            <w:r>
              <w:rPr>
                <w:lang w:val="fr-FR"/>
              </w:rPr>
              <w:t>0</w:t>
            </w:r>
          </w:p>
        </w:tc>
      </w:tr>
      <w:tr w:rsidR="00121039" w:rsidRPr="00066362" w:rsidTr="006C5138">
        <w:trPr>
          <w:trHeight w:val="360"/>
          <w:jc w:val="center"/>
        </w:trPr>
        <w:tc>
          <w:tcPr>
            <w:tcW w:w="3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121039" w:rsidRPr="00066362" w:rsidRDefault="00C91F2F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Date</w:t>
            </w:r>
          </w:p>
        </w:tc>
        <w:tc>
          <w:tcPr>
            <w:tcW w:w="699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21039" w:rsidRPr="00066362" w:rsidRDefault="000C5135">
            <w:pPr>
              <w:rPr>
                <w:lang w:val="fr-FR"/>
              </w:rPr>
            </w:pPr>
            <w:r>
              <w:rPr>
                <w:lang w:val="fr-FR"/>
              </w:rPr>
              <w:t>2010-01-04</w:t>
            </w:r>
          </w:p>
        </w:tc>
      </w:tr>
      <w:tr w:rsidR="00E123CA" w:rsidRPr="00E25FDC" w:rsidTr="006C5138">
        <w:trPr>
          <w:trHeight w:val="360"/>
          <w:jc w:val="center"/>
        </w:trPr>
        <w:tc>
          <w:tcPr>
            <w:tcW w:w="3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E123CA" w:rsidRPr="00066362" w:rsidRDefault="00A95F19" w:rsidP="00E123CA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Location</w:t>
            </w:r>
          </w:p>
        </w:tc>
        <w:tc>
          <w:tcPr>
            <w:tcW w:w="699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123CA" w:rsidRPr="00066362" w:rsidRDefault="00A95F19" w:rsidP="00E123CA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E123CA">
              <w:rPr>
                <w:lang w:val="fr-FR"/>
              </w:rPr>
              <w:t>3-</w:t>
            </w:r>
            <w:r>
              <w:rPr>
                <w:lang w:val="fr-FR"/>
              </w:rPr>
              <w:t>2</w:t>
            </w:r>
            <w:r w:rsidR="00E123CA">
              <w:rPr>
                <w:lang w:val="fr-FR"/>
              </w:rPr>
              <w:t xml:space="preserve">5 </w:t>
            </w:r>
            <w:proofErr w:type="gramStart"/>
            <w:r w:rsidR="00E123CA">
              <w:rPr>
                <w:lang w:val="fr-FR"/>
              </w:rPr>
              <w:t>rue Dumont d’Urville – Paris 16</w:t>
            </w:r>
            <w:r w:rsidR="00E123CA" w:rsidRPr="00C91F2F">
              <w:rPr>
                <w:vertAlign w:val="superscript"/>
                <w:lang w:val="fr-FR"/>
              </w:rPr>
              <w:t>e</w:t>
            </w:r>
            <w:proofErr w:type="gramEnd"/>
          </w:p>
        </w:tc>
      </w:tr>
      <w:tr w:rsidR="00E123CA" w:rsidRPr="002E27B5" w:rsidTr="006C5138">
        <w:trPr>
          <w:trHeight w:val="360"/>
          <w:jc w:val="center"/>
        </w:trPr>
        <w:tc>
          <w:tcPr>
            <w:tcW w:w="3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E123CA" w:rsidRDefault="00A95F19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Author</w:t>
            </w:r>
          </w:p>
        </w:tc>
        <w:tc>
          <w:tcPr>
            <w:tcW w:w="699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123CA" w:rsidRDefault="000C5135">
            <w:pPr>
              <w:rPr>
                <w:lang w:val="fr-FR"/>
              </w:rPr>
            </w:pPr>
            <w:r>
              <w:rPr>
                <w:lang w:val="fr-FR"/>
              </w:rPr>
              <w:t>PAIRIS Thibault</w:t>
            </w:r>
            <w:r w:rsidR="00A34229">
              <w:rPr>
                <w:lang w:val="fr-FR"/>
              </w:rPr>
              <w:t>, DURAND François</w:t>
            </w:r>
            <w:r w:rsidR="00E25FDC">
              <w:rPr>
                <w:lang w:val="fr-FR"/>
              </w:rPr>
              <w:t>, DUCHENNE-CRETIER Hervé</w:t>
            </w:r>
          </w:p>
        </w:tc>
      </w:tr>
      <w:tr w:rsidR="00121039" w:rsidRPr="002E27B5" w:rsidTr="006C5138">
        <w:trPr>
          <w:trHeight w:val="432"/>
          <w:jc w:val="center"/>
        </w:trPr>
        <w:tc>
          <w:tcPr>
            <w:tcW w:w="10061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1039" w:rsidRDefault="00121039">
            <w:pPr>
              <w:rPr>
                <w:lang w:val="fr-FR"/>
              </w:rPr>
            </w:pPr>
          </w:p>
          <w:p w:rsidR="00ED5757" w:rsidRDefault="00ED5757">
            <w:pPr>
              <w:rPr>
                <w:lang w:val="fr-FR"/>
              </w:rPr>
            </w:pPr>
          </w:p>
          <w:p w:rsidR="00E20CB9" w:rsidRDefault="00E20CB9">
            <w:pPr>
              <w:rPr>
                <w:lang w:val="fr-FR"/>
              </w:rPr>
            </w:pPr>
          </w:p>
          <w:p w:rsidR="00E20CB9" w:rsidRDefault="00E20CB9">
            <w:pPr>
              <w:rPr>
                <w:lang w:val="fr-FR"/>
              </w:rPr>
            </w:pPr>
          </w:p>
          <w:p w:rsidR="00E20CB9" w:rsidRDefault="00E20CB9">
            <w:pPr>
              <w:rPr>
                <w:lang w:val="fr-FR"/>
              </w:rPr>
            </w:pPr>
          </w:p>
          <w:p w:rsidR="00C91F2F" w:rsidRPr="00066362" w:rsidRDefault="00C91F2F">
            <w:pPr>
              <w:rPr>
                <w:lang w:val="fr-FR"/>
              </w:rPr>
            </w:pPr>
          </w:p>
        </w:tc>
      </w:tr>
      <w:tr w:rsidR="00ED5757" w:rsidRPr="00066362" w:rsidTr="006C5138">
        <w:trPr>
          <w:trHeight w:val="360"/>
          <w:jc w:val="center"/>
        </w:trPr>
        <w:tc>
          <w:tcPr>
            <w:tcW w:w="7842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ED5757" w:rsidRPr="00ED5757" w:rsidRDefault="00345E62" w:rsidP="00ED5757">
            <w:pPr>
              <w:rPr>
                <w:b/>
                <w:lang w:val="fr-FR"/>
              </w:rPr>
            </w:pPr>
            <w:bookmarkStart w:id="0" w:name="MinuteItems"/>
            <w:bookmarkEnd w:id="0"/>
            <w:proofErr w:type="spellStart"/>
            <w:r>
              <w:rPr>
                <w:b/>
                <w:lang w:val="fr-FR"/>
              </w:rPr>
              <w:t>P</w:t>
            </w:r>
            <w:r w:rsidR="00DD3B1A">
              <w:rPr>
                <w:b/>
                <w:lang w:val="fr-FR"/>
              </w:rPr>
              <w:t>resentation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ED5757" w:rsidRPr="00ED5757" w:rsidRDefault="00ED5757">
            <w:pPr>
              <w:pStyle w:val="Titre5"/>
              <w:rPr>
                <w:caps w:val="0"/>
                <w:lang w:val="fr-FR"/>
              </w:rPr>
            </w:pPr>
          </w:p>
        </w:tc>
      </w:tr>
      <w:tr w:rsidR="00B42705" w:rsidRPr="00DD3B1A" w:rsidTr="00345E62">
        <w:trPr>
          <w:trHeight w:val="360"/>
          <w:jc w:val="center"/>
        </w:trPr>
        <w:tc>
          <w:tcPr>
            <w:tcW w:w="10061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42705" w:rsidRPr="00DD3B1A" w:rsidRDefault="00B42705" w:rsidP="000410E3">
            <w:r>
              <w:t>This document presents the IT HQ recommendations for the architecture of the planned Peru Logistic Intranet module.</w:t>
            </w:r>
          </w:p>
        </w:tc>
      </w:tr>
      <w:tr w:rsidR="00B42705" w:rsidRPr="00DD3B1A" w:rsidTr="00B42705">
        <w:trPr>
          <w:trHeight w:val="115"/>
          <w:jc w:val="center"/>
        </w:trPr>
        <w:tc>
          <w:tcPr>
            <w:tcW w:w="10061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2705" w:rsidRPr="00DD3B1A" w:rsidRDefault="00B42705" w:rsidP="00345E62"/>
        </w:tc>
      </w:tr>
      <w:tr w:rsidR="00B42705" w:rsidRPr="00066362" w:rsidTr="00B42705">
        <w:trPr>
          <w:trHeight w:val="360"/>
          <w:jc w:val="center"/>
        </w:trPr>
        <w:tc>
          <w:tcPr>
            <w:tcW w:w="7842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42705" w:rsidRPr="00ED5757" w:rsidRDefault="00B42705" w:rsidP="00345E62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Suggested</w:t>
            </w:r>
            <w:proofErr w:type="spellEnd"/>
            <w:r>
              <w:rPr>
                <w:b/>
                <w:lang w:val="fr-FR"/>
              </w:rPr>
              <w:t xml:space="preserve"> Network architecture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42705" w:rsidRPr="00ED5757" w:rsidRDefault="00B42705" w:rsidP="00345E62">
            <w:pPr>
              <w:pStyle w:val="Titre5"/>
              <w:rPr>
                <w:caps w:val="0"/>
                <w:lang w:val="fr-FR"/>
              </w:rPr>
            </w:pPr>
          </w:p>
        </w:tc>
      </w:tr>
      <w:tr w:rsidR="00B42705" w:rsidRPr="006F4C4A" w:rsidTr="00345E62">
        <w:trPr>
          <w:trHeight w:val="360"/>
          <w:jc w:val="center"/>
        </w:trPr>
        <w:tc>
          <w:tcPr>
            <w:tcW w:w="10061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42705" w:rsidRDefault="00B42705" w:rsidP="00C97E38">
            <w:pPr>
              <w:rPr>
                <w:lang w:val="en-US"/>
              </w:rPr>
            </w:pPr>
            <w:r w:rsidRPr="00F52670">
              <w:rPr>
                <w:lang w:val="en-US"/>
              </w:rPr>
              <w:t xml:space="preserve">The network architecture </w:t>
            </w:r>
            <w:r w:rsidR="00F52670" w:rsidRPr="00F52670">
              <w:rPr>
                <w:lang w:val="en-US"/>
              </w:rPr>
              <w:t xml:space="preserve">should be secured through a firewall in order to isolate the </w:t>
            </w:r>
            <w:proofErr w:type="spellStart"/>
            <w:r w:rsidR="00F52670" w:rsidRPr="00F52670">
              <w:rPr>
                <w:lang w:val="en-US"/>
              </w:rPr>
              <w:t>Perenco</w:t>
            </w:r>
            <w:proofErr w:type="spellEnd"/>
            <w:r w:rsidR="00F52670" w:rsidRPr="00F52670">
              <w:rPr>
                <w:lang w:val="en-US"/>
              </w:rPr>
              <w:t xml:space="preserve"> internal zone (LAN) from </w:t>
            </w:r>
            <w:r w:rsidR="00F52670">
              <w:rPr>
                <w:lang w:val="en-US"/>
              </w:rPr>
              <w:t xml:space="preserve">security threats coming from </w:t>
            </w:r>
            <w:r w:rsidR="00F52670" w:rsidRPr="00F52670">
              <w:rPr>
                <w:lang w:val="en-US"/>
              </w:rPr>
              <w:t>the Internet.</w:t>
            </w:r>
            <w:r w:rsidR="00F52670">
              <w:rPr>
                <w:lang w:val="en-US"/>
              </w:rPr>
              <w:t xml:space="preserve"> If an extranet is needed, its server should be separated from the rest of the </w:t>
            </w:r>
            <w:proofErr w:type="spellStart"/>
            <w:r w:rsidR="00F52670">
              <w:rPr>
                <w:lang w:val="en-US"/>
              </w:rPr>
              <w:t>Perenco</w:t>
            </w:r>
            <w:proofErr w:type="spellEnd"/>
            <w:r w:rsidR="00F52670">
              <w:rPr>
                <w:lang w:val="en-US"/>
              </w:rPr>
              <w:t xml:space="preserve"> Intranet, through separated </w:t>
            </w:r>
            <w:proofErr w:type="spellStart"/>
            <w:r w:rsidR="00F52670">
              <w:rPr>
                <w:lang w:val="en-US"/>
              </w:rPr>
              <w:t>subnetworks</w:t>
            </w:r>
            <w:proofErr w:type="spellEnd"/>
            <w:r w:rsidR="00F52670">
              <w:rPr>
                <w:lang w:val="en-US"/>
              </w:rPr>
              <w:t>.</w:t>
            </w:r>
          </w:p>
          <w:p w:rsidR="00F52670" w:rsidRPr="00F52670" w:rsidRDefault="00F52670" w:rsidP="00C97E38">
            <w:pPr>
              <w:rPr>
                <w:lang w:val="en-US"/>
              </w:rPr>
            </w:pPr>
          </w:p>
          <w:p w:rsidR="00B42705" w:rsidRDefault="003E1AE6" w:rsidP="00B4270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object w:dxaOrig="8675" w:dyaOrig="46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33.5pt;height:234pt" o:ole="">
                  <v:imagedata r:id="rId6" o:title=""/>
                </v:shape>
                <o:OLEObject Type="Link" ProgID="Visio.Drawing.11" ShapeID="_x0000_i1027" DrawAspect="Content" r:id="rId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:rsidR="00B42705" w:rsidRPr="00331147" w:rsidRDefault="00B42705" w:rsidP="00C97E38">
            <w:pPr>
              <w:rPr>
                <w:lang w:val="fr-FR"/>
              </w:rPr>
            </w:pPr>
          </w:p>
        </w:tc>
      </w:tr>
      <w:tr w:rsidR="00B42705" w:rsidRPr="00DD3B1A" w:rsidTr="00B42705">
        <w:trPr>
          <w:trHeight w:val="115"/>
          <w:jc w:val="center"/>
        </w:trPr>
        <w:tc>
          <w:tcPr>
            <w:tcW w:w="10061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2705" w:rsidRPr="00DD3B1A" w:rsidRDefault="00B42705" w:rsidP="00345E62"/>
        </w:tc>
      </w:tr>
      <w:tr w:rsidR="00B42705" w:rsidRPr="00066362" w:rsidTr="00B42705">
        <w:trPr>
          <w:trHeight w:val="360"/>
          <w:jc w:val="center"/>
        </w:trPr>
        <w:tc>
          <w:tcPr>
            <w:tcW w:w="7842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42705" w:rsidRPr="00ED5757" w:rsidRDefault="00B42705" w:rsidP="00345E62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Perenco</w:t>
            </w:r>
            <w:proofErr w:type="spellEnd"/>
            <w:r>
              <w:rPr>
                <w:b/>
                <w:lang w:val="fr-FR"/>
              </w:rPr>
              <w:t xml:space="preserve"> Intranet configuration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42705" w:rsidRPr="00ED5757" w:rsidRDefault="00B42705" w:rsidP="00345E62">
            <w:pPr>
              <w:pStyle w:val="Titre5"/>
              <w:rPr>
                <w:caps w:val="0"/>
                <w:lang w:val="fr-FR"/>
              </w:rPr>
            </w:pPr>
          </w:p>
        </w:tc>
      </w:tr>
      <w:tr w:rsidR="00B42705" w:rsidRPr="00331147" w:rsidTr="00B42705">
        <w:trPr>
          <w:trHeight w:val="360"/>
          <w:jc w:val="center"/>
        </w:trPr>
        <w:tc>
          <w:tcPr>
            <w:tcW w:w="10061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42705" w:rsidRPr="0070474D" w:rsidRDefault="00B42705" w:rsidP="00345E62">
            <w:pPr>
              <w:numPr>
                <w:ilvl w:val="0"/>
                <w:numId w:val="7"/>
              </w:numPr>
              <w:rPr>
                <w:b/>
              </w:rPr>
            </w:pPr>
            <w:r w:rsidRPr="0070474D">
              <w:rPr>
                <w:b/>
              </w:rPr>
              <w:t>Hardware</w:t>
            </w:r>
          </w:p>
          <w:p w:rsidR="00B42705" w:rsidRDefault="00B42705" w:rsidP="00345E62">
            <w:pPr>
              <w:numPr>
                <w:ilvl w:val="0"/>
                <w:numId w:val="9"/>
              </w:numPr>
            </w:pPr>
            <w:r>
              <w:t>Racked ser</w:t>
            </w:r>
            <w:r w:rsidR="00B51334">
              <w:t>ver in PERENCO LIMA IT ROOM</w:t>
            </w:r>
          </w:p>
          <w:p w:rsidR="00B42705" w:rsidRDefault="00B42705" w:rsidP="00345E62">
            <w:pPr>
              <w:numPr>
                <w:ilvl w:val="0"/>
                <w:numId w:val="9"/>
              </w:numPr>
            </w:pPr>
            <w:r>
              <w:t xml:space="preserve">Processor: Intel Xeon </w:t>
            </w:r>
            <w:proofErr w:type="spellStart"/>
            <w:r>
              <w:t>quadcore</w:t>
            </w:r>
            <w:proofErr w:type="spellEnd"/>
            <w:r>
              <w:t xml:space="preserve"> 2.8Ghz</w:t>
            </w:r>
          </w:p>
          <w:p w:rsidR="00B42705" w:rsidRDefault="00B42705" w:rsidP="00345E62">
            <w:pPr>
              <w:numPr>
                <w:ilvl w:val="0"/>
                <w:numId w:val="9"/>
              </w:numPr>
            </w:pPr>
            <w:r>
              <w:t>RAM: 4Gb</w:t>
            </w:r>
            <w:r w:rsidR="00B51334">
              <w:t xml:space="preserve"> min</w:t>
            </w:r>
          </w:p>
          <w:p w:rsidR="00B42705" w:rsidRDefault="00B42705" w:rsidP="00345E62"/>
          <w:p w:rsidR="00B42705" w:rsidRPr="0070474D" w:rsidRDefault="00B42705" w:rsidP="00345E62">
            <w:pPr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S</w:t>
            </w:r>
            <w:r w:rsidRPr="0070474D">
              <w:rPr>
                <w:b/>
              </w:rPr>
              <w:t>oftware</w:t>
            </w:r>
            <w:r w:rsidR="002E27B5">
              <w:rPr>
                <w:b/>
              </w:rPr>
              <w:t xml:space="preserve"> (as of 4</w:t>
            </w:r>
            <w:r w:rsidR="002E27B5" w:rsidRPr="002E27B5">
              <w:rPr>
                <w:b/>
                <w:vertAlign w:val="superscript"/>
              </w:rPr>
              <w:t>th</w:t>
            </w:r>
            <w:r w:rsidR="002E27B5">
              <w:rPr>
                <w:b/>
              </w:rPr>
              <w:t xml:space="preserve"> Jan 2010)</w:t>
            </w:r>
          </w:p>
          <w:p w:rsidR="00B42705" w:rsidRDefault="00B51334" w:rsidP="00345E62">
            <w:pPr>
              <w:numPr>
                <w:ilvl w:val="0"/>
                <w:numId w:val="8"/>
              </w:numPr>
            </w:pPr>
            <w:r>
              <w:t>OS: MS Windows Server 2008, all security patch</w:t>
            </w:r>
            <w:r w:rsidR="002E27B5">
              <w:t>es</w:t>
            </w:r>
            <w:r>
              <w:t xml:space="preserve"> applied</w:t>
            </w:r>
          </w:p>
          <w:p w:rsidR="00B42705" w:rsidRPr="002E27B5" w:rsidRDefault="00B42705" w:rsidP="00345E62">
            <w:pPr>
              <w:numPr>
                <w:ilvl w:val="0"/>
                <w:numId w:val="8"/>
              </w:numPr>
            </w:pPr>
            <w:r w:rsidRPr="002E27B5">
              <w:t>Apache: 2.</w:t>
            </w:r>
            <w:r w:rsidR="002E27B5" w:rsidRPr="002E27B5">
              <w:t>2</w:t>
            </w:r>
            <w:r w:rsidRPr="002E27B5">
              <w:t>.</w:t>
            </w:r>
            <w:r w:rsidR="002E27B5" w:rsidRPr="002E27B5">
              <w:t>14</w:t>
            </w:r>
          </w:p>
          <w:p w:rsidR="00B42705" w:rsidRPr="002E27B5" w:rsidRDefault="00B42705" w:rsidP="00345E62">
            <w:pPr>
              <w:numPr>
                <w:ilvl w:val="0"/>
                <w:numId w:val="8"/>
              </w:numPr>
            </w:pPr>
            <w:r w:rsidRPr="002E27B5">
              <w:t>PHP: 5.</w:t>
            </w:r>
            <w:r w:rsidR="002E27B5" w:rsidRPr="002E27B5">
              <w:t>3</w:t>
            </w:r>
            <w:r w:rsidRPr="002E27B5">
              <w:t>.1</w:t>
            </w:r>
          </w:p>
          <w:p w:rsidR="00F52670" w:rsidRDefault="00B42705" w:rsidP="0014236B">
            <w:pPr>
              <w:numPr>
                <w:ilvl w:val="0"/>
                <w:numId w:val="8"/>
              </w:numPr>
            </w:pPr>
            <w:proofErr w:type="spellStart"/>
            <w:r w:rsidRPr="002E27B5">
              <w:t>MySQL</w:t>
            </w:r>
            <w:proofErr w:type="spellEnd"/>
            <w:r w:rsidRPr="002E27B5">
              <w:t>: 5.</w:t>
            </w:r>
            <w:r w:rsidR="002E27B5" w:rsidRPr="002E27B5">
              <w:t>1</w:t>
            </w:r>
            <w:r w:rsidRPr="002E27B5">
              <w:t>.</w:t>
            </w:r>
            <w:r w:rsidR="002E27B5" w:rsidRPr="002E27B5">
              <w:t>42</w:t>
            </w:r>
          </w:p>
          <w:p w:rsidR="002E27B5" w:rsidRPr="0070474D" w:rsidRDefault="002E27B5" w:rsidP="002E27B5"/>
        </w:tc>
      </w:tr>
      <w:tr w:rsidR="00C97E38" w:rsidRPr="00F52670" w:rsidTr="00C97E38">
        <w:trPr>
          <w:trHeight w:val="115"/>
          <w:jc w:val="center"/>
        </w:trPr>
        <w:tc>
          <w:tcPr>
            <w:tcW w:w="10061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97E38" w:rsidRPr="00F52670" w:rsidRDefault="00C97E38" w:rsidP="00C97E38">
            <w:pPr>
              <w:rPr>
                <w:lang w:val="en-US"/>
              </w:rPr>
            </w:pPr>
          </w:p>
        </w:tc>
      </w:tr>
      <w:tr w:rsidR="00C97E38" w:rsidRPr="00066362" w:rsidTr="00C97E38">
        <w:trPr>
          <w:trHeight w:val="360"/>
          <w:jc w:val="center"/>
        </w:trPr>
        <w:tc>
          <w:tcPr>
            <w:tcW w:w="7842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C97E38" w:rsidRPr="00ED5757" w:rsidRDefault="00345E62" w:rsidP="00C97E38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lastRenderedPageBreak/>
              <w:t>Suggested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measures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C97E38" w:rsidRPr="00ED5757" w:rsidRDefault="00C97E38" w:rsidP="00C97E38">
            <w:pPr>
              <w:pStyle w:val="Titre5"/>
              <w:rPr>
                <w:caps w:val="0"/>
                <w:lang w:val="fr-FR"/>
              </w:rPr>
            </w:pPr>
          </w:p>
        </w:tc>
      </w:tr>
      <w:tr w:rsidR="00B42705" w:rsidRPr="00730DCA" w:rsidTr="00345E62">
        <w:trPr>
          <w:trHeight w:val="360"/>
          <w:jc w:val="center"/>
        </w:trPr>
        <w:tc>
          <w:tcPr>
            <w:tcW w:w="10061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42705" w:rsidRDefault="00B42705" w:rsidP="00C97E38">
            <w:pPr>
              <w:rPr>
                <w:lang w:val="en-US"/>
              </w:rPr>
            </w:pPr>
            <w:r>
              <w:rPr>
                <w:lang w:val="en-US"/>
              </w:rPr>
              <w:t>In order for Paris HQ to be able to monitor new development inner working (for both maintainability and optimization), the following recommendatio</w:t>
            </w:r>
            <w:r w:rsidR="002E27B5">
              <w:rPr>
                <w:lang w:val="en-US"/>
              </w:rPr>
              <w:t>ns should be taken into account:</w:t>
            </w:r>
          </w:p>
          <w:p w:rsidR="002E27B5" w:rsidRDefault="002E27B5" w:rsidP="002E27B5">
            <w:pPr>
              <w:rPr>
                <w:lang w:val="en-US"/>
              </w:rPr>
            </w:pPr>
          </w:p>
          <w:p w:rsidR="002E27B5" w:rsidRPr="002E27B5" w:rsidRDefault="002E27B5" w:rsidP="002E27B5">
            <w:pPr>
              <w:rPr>
                <w:b/>
                <w:lang w:val="en-US"/>
              </w:rPr>
            </w:pPr>
            <w:r w:rsidRPr="002E27B5">
              <w:rPr>
                <w:b/>
                <w:lang w:val="en-US"/>
              </w:rPr>
              <w:t>1) Extranet server communication</w:t>
            </w:r>
          </w:p>
          <w:p w:rsidR="002E27B5" w:rsidRDefault="002E27B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assess usage and protocol </w:t>
            </w:r>
            <w:r w:rsidR="003E1AE6">
              <w:rPr>
                <w:lang w:val="en-US"/>
              </w:rPr>
              <w:t>used by the extranet server</w:t>
            </w:r>
            <w:r>
              <w:rPr>
                <w:lang w:val="en-US"/>
              </w:rPr>
              <w:t>:</w:t>
            </w:r>
          </w:p>
          <w:p w:rsidR="002E27B5" w:rsidRPr="00B51334" w:rsidRDefault="002E27B5" w:rsidP="002E27B5">
            <w:pPr>
              <w:numPr>
                <w:ilvl w:val="1"/>
                <w:numId w:val="10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make</w:t>
            </w:r>
            <w:proofErr w:type="gramEnd"/>
            <w:r>
              <w:rPr>
                <w:lang w:val="en-US"/>
              </w:rPr>
              <w:t xml:space="preserve"> roles of Intranet server and Extranet server CLEAR: which </w:t>
            </w:r>
            <w:r w:rsidR="003E1AE6">
              <w:rPr>
                <w:lang w:val="en-US"/>
              </w:rPr>
              <w:t>of them is doing what?</w:t>
            </w:r>
          </w:p>
          <w:p w:rsidR="002E27B5" w:rsidRDefault="002E27B5" w:rsidP="002E27B5">
            <w:pPr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to communicate with the internet</w:t>
            </w:r>
            <w:r w:rsidR="003E1AE6">
              <w:rPr>
                <w:lang w:val="en-US"/>
              </w:rPr>
              <w:t xml:space="preserve"> </w:t>
            </w:r>
            <w:r>
              <w:rPr>
                <w:lang w:val="en-US"/>
              </w:rPr>
              <w:t>/ third parties (and reverse)</w:t>
            </w:r>
          </w:p>
          <w:p w:rsidR="002E27B5" w:rsidRDefault="002E27B5" w:rsidP="002E27B5">
            <w:pPr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to communicate with the intranet trusted </w:t>
            </w:r>
            <w:proofErr w:type="spellStart"/>
            <w:r>
              <w:rPr>
                <w:lang w:val="en-US"/>
              </w:rPr>
              <w:t>Sistema</w:t>
            </w:r>
            <w:proofErr w:type="spellEnd"/>
            <w:r>
              <w:rPr>
                <w:lang w:val="en-US"/>
              </w:rPr>
              <w:t xml:space="preserve"> Integral (and reverse)</w:t>
            </w:r>
          </w:p>
          <w:p w:rsidR="002E27B5" w:rsidRPr="002C6188" w:rsidRDefault="002E27B5" w:rsidP="002E27B5">
            <w:pPr>
              <w:numPr>
                <w:ilvl w:val="2"/>
                <w:numId w:val="10"/>
              </w:numPr>
              <w:rPr>
                <w:b/>
                <w:color w:val="FF0000"/>
                <w:lang w:val="en-US"/>
              </w:rPr>
            </w:pPr>
            <w:r w:rsidRPr="002C6188">
              <w:rPr>
                <w:b/>
                <w:color w:val="FF0000"/>
                <w:lang w:val="en-US"/>
              </w:rPr>
              <w:t xml:space="preserve">get approval from IT HQ </w:t>
            </w:r>
            <w:r w:rsidR="002C6188">
              <w:rPr>
                <w:b/>
                <w:color w:val="FF0000"/>
                <w:lang w:val="en-US"/>
              </w:rPr>
              <w:t xml:space="preserve">before development kick-off </w:t>
            </w:r>
            <w:r w:rsidRPr="002C6188">
              <w:rPr>
                <w:b/>
                <w:color w:val="FF0000"/>
                <w:lang w:val="en-US"/>
              </w:rPr>
              <w:t xml:space="preserve">(IT HQ will challenge choices to maintain a </w:t>
            </w:r>
            <w:r w:rsidR="002C6188" w:rsidRPr="002C6188">
              <w:rPr>
                <w:b/>
                <w:color w:val="FF0000"/>
                <w:lang w:val="en-US"/>
              </w:rPr>
              <w:t xml:space="preserve">high level </w:t>
            </w:r>
            <w:r w:rsidRPr="002C6188">
              <w:rPr>
                <w:b/>
                <w:color w:val="FF0000"/>
                <w:lang w:val="en-US"/>
              </w:rPr>
              <w:t>security)</w:t>
            </w:r>
          </w:p>
          <w:p w:rsidR="002E27B5" w:rsidRDefault="002E27B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IT HQ to configure firewall</w:t>
            </w:r>
          </w:p>
          <w:p w:rsidR="002E27B5" w:rsidRDefault="002E27B5" w:rsidP="002E27B5">
            <w:pPr>
              <w:rPr>
                <w:lang w:val="en-US"/>
              </w:rPr>
            </w:pPr>
          </w:p>
          <w:p w:rsidR="002E27B5" w:rsidRPr="002E27B5" w:rsidRDefault="002E27B5" w:rsidP="002E27B5">
            <w:pPr>
              <w:rPr>
                <w:b/>
                <w:lang w:val="en-US"/>
              </w:rPr>
            </w:pPr>
            <w:r w:rsidRPr="002E27B5">
              <w:rPr>
                <w:b/>
                <w:lang w:val="en-US"/>
              </w:rPr>
              <w:t>2) Intranet reference data</w:t>
            </w:r>
          </w:p>
          <w:p w:rsidR="002E27B5" w:rsidRDefault="002E27B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list</w:t>
            </w:r>
            <w:proofErr w:type="gramEnd"/>
            <w:r>
              <w:rPr>
                <w:lang w:val="en-US"/>
              </w:rPr>
              <w:t xml:space="preserve"> data to be retrieved from corporate intranet (intranet.perenco.net) by Peru intranet server (Staff only?)</w:t>
            </w:r>
          </w:p>
          <w:p w:rsidR="002E27B5" w:rsidRDefault="002E27B5" w:rsidP="00C97E38">
            <w:pPr>
              <w:rPr>
                <w:lang w:val="en-US"/>
              </w:rPr>
            </w:pPr>
          </w:p>
          <w:p w:rsidR="002E27B5" w:rsidRPr="002E27B5" w:rsidRDefault="002E27B5" w:rsidP="00C97E38">
            <w:pPr>
              <w:rPr>
                <w:b/>
                <w:lang w:val="en-US"/>
              </w:rPr>
            </w:pPr>
            <w:r w:rsidRPr="002E27B5">
              <w:rPr>
                <w:b/>
                <w:lang w:val="en-US"/>
              </w:rPr>
              <w:t>3) Staging process</w:t>
            </w:r>
          </w:p>
          <w:p w:rsidR="00B42705" w:rsidRDefault="00B4270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all servers used by the Peru Logistic module should be </w:t>
            </w:r>
            <w:r w:rsidRPr="0014236B">
              <w:rPr>
                <w:b/>
                <w:lang w:val="en-US"/>
              </w:rPr>
              <w:t>accessible from Paris HQ</w:t>
            </w:r>
          </w:p>
          <w:p w:rsidR="00B42705" w:rsidRPr="009E3E79" w:rsidRDefault="00B4270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14236B">
              <w:rPr>
                <w:b/>
                <w:lang w:val="en-US"/>
              </w:rPr>
              <w:t>staging step should be planned</w:t>
            </w:r>
            <w:r>
              <w:rPr>
                <w:lang w:val="en-US"/>
              </w:rPr>
              <w:t>, using a dedicated and permanent staging environment (distinct from the production environment)</w:t>
            </w:r>
          </w:p>
          <w:p w:rsidR="00B42705" w:rsidRDefault="00B4270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Perenco</w:t>
            </w:r>
            <w:proofErr w:type="spellEnd"/>
            <w:r>
              <w:rPr>
                <w:lang w:val="en-US"/>
              </w:rPr>
              <w:t xml:space="preserve"> Intranet team should be kept informed of development advancement and </w:t>
            </w:r>
            <w:r w:rsidRPr="0014236B">
              <w:rPr>
                <w:b/>
                <w:lang w:val="en-US"/>
              </w:rPr>
              <w:t xml:space="preserve">be part of the staging process </w:t>
            </w:r>
            <w:r>
              <w:rPr>
                <w:lang w:val="en-US"/>
              </w:rPr>
              <w:t>(to bring expertise on possible technical and functional enhancements)</w:t>
            </w:r>
          </w:p>
          <w:p w:rsidR="00B42705" w:rsidRDefault="00B42705" w:rsidP="002E27B5">
            <w:pPr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ideally, third party should be able to communicate in English</w:t>
            </w:r>
          </w:p>
          <w:p w:rsidR="00B51334" w:rsidRDefault="00B51334" w:rsidP="00C11471">
            <w:pPr>
              <w:rPr>
                <w:lang w:val="en-US"/>
              </w:rPr>
            </w:pPr>
          </w:p>
          <w:p w:rsidR="002E27B5" w:rsidRPr="00C11471" w:rsidRDefault="00C11471" w:rsidP="00C11471">
            <w:pPr>
              <w:rPr>
                <w:b/>
                <w:lang w:val="en-US"/>
              </w:rPr>
            </w:pPr>
            <w:r w:rsidRPr="00C11471">
              <w:rPr>
                <w:b/>
                <w:lang w:val="en-US"/>
              </w:rPr>
              <w:t>Once the scope of the project is</w:t>
            </w:r>
            <w:r>
              <w:rPr>
                <w:b/>
                <w:lang w:val="en-US"/>
              </w:rPr>
              <w:t xml:space="preserve"> made</w:t>
            </w:r>
            <w:r w:rsidRPr="00C11471">
              <w:rPr>
                <w:b/>
                <w:lang w:val="en-US"/>
              </w:rPr>
              <w:t xml:space="preserve"> clear, and before development kick-off, a video conference should be organized in order to share ideas.</w:t>
            </w:r>
          </w:p>
          <w:p w:rsidR="00C11471" w:rsidRPr="0014236B" w:rsidRDefault="00C11471" w:rsidP="00C11471">
            <w:pPr>
              <w:rPr>
                <w:lang w:val="en-US"/>
              </w:rPr>
            </w:pPr>
          </w:p>
        </w:tc>
      </w:tr>
    </w:tbl>
    <w:p w:rsidR="00121039" w:rsidRPr="00730DCA" w:rsidRDefault="00121039">
      <w:pPr>
        <w:rPr>
          <w:lang w:val="en-US"/>
        </w:rPr>
      </w:pPr>
    </w:p>
    <w:sectPr w:rsidR="00121039" w:rsidRPr="00730DCA" w:rsidSect="001572C3">
      <w:pgSz w:w="11907" w:h="16839"/>
      <w:pgMar w:top="1080" w:right="1008" w:bottom="1080" w:left="100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7708"/>
    <w:multiLevelType w:val="hybridMultilevel"/>
    <w:tmpl w:val="400EDA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46ABC"/>
    <w:multiLevelType w:val="hybridMultilevel"/>
    <w:tmpl w:val="F9AA71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34D7C"/>
    <w:multiLevelType w:val="hybridMultilevel"/>
    <w:tmpl w:val="EF6241AC"/>
    <w:lvl w:ilvl="0" w:tplc="9730B1F8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2B29C1"/>
    <w:multiLevelType w:val="hybridMultilevel"/>
    <w:tmpl w:val="F64EB7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B65F35"/>
    <w:multiLevelType w:val="hybridMultilevel"/>
    <w:tmpl w:val="960495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C9130">
      <w:numFmt w:val="bullet"/>
      <w:lvlText w:val=""/>
      <w:lvlJc w:val="left"/>
      <w:pPr>
        <w:ind w:left="2160" w:hanging="360"/>
      </w:pPr>
      <w:rPr>
        <w:rFonts w:ascii="Wingdings" w:eastAsia="Times New Roman" w:hAnsi="Wingdings" w:cs="Tahoma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E2AD7"/>
    <w:multiLevelType w:val="hybridMultilevel"/>
    <w:tmpl w:val="35F20256"/>
    <w:lvl w:ilvl="0" w:tplc="242E686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369D0"/>
    <w:multiLevelType w:val="hybridMultilevel"/>
    <w:tmpl w:val="38346C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2AAB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501B9A"/>
    <w:multiLevelType w:val="hybridMultilevel"/>
    <w:tmpl w:val="98F69500"/>
    <w:lvl w:ilvl="0" w:tplc="C5807BB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2738C"/>
    <w:multiLevelType w:val="hybridMultilevel"/>
    <w:tmpl w:val="01986BA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4C26B8"/>
    <w:multiLevelType w:val="hybridMultilevel"/>
    <w:tmpl w:val="14509258"/>
    <w:lvl w:ilvl="0" w:tplc="9730B1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compat>
    <w:adjustLineHeightInTable/>
  </w:compat>
  <w:rsids>
    <w:rsidRoot w:val="0036303D"/>
    <w:rsid w:val="00023E92"/>
    <w:rsid w:val="00024999"/>
    <w:rsid w:val="00025239"/>
    <w:rsid w:val="000309E2"/>
    <w:rsid w:val="000410E3"/>
    <w:rsid w:val="00044ADC"/>
    <w:rsid w:val="00066362"/>
    <w:rsid w:val="00066671"/>
    <w:rsid w:val="00071020"/>
    <w:rsid w:val="00086732"/>
    <w:rsid w:val="000924E7"/>
    <w:rsid w:val="000C3904"/>
    <w:rsid w:val="000C5135"/>
    <w:rsid w:val="000F415B"/>
    <w:rsid w:val="00115265"/>
    <w:rsid w:val="00121039"/>
    <w:rsid w:val="0014236B"/>
    <w:rsid w:val="00147981"/>
    <w:rsid w:val="001565ED"/>
    <w:rsid w:val="001572C3"/>
    <w:rsid w:val="001C3029"/>
    <w:rsid w:val="001D674E"/>
    <w:rsid w:val="001F5120"/>
    <w:rsid w:val="00202293"/>
    <w:rsid w:val="00204FB3"/>
    <w:rsid w:val="0025417B"/>
    <w:rsid w:val="0026094D"/>
    <w:rsid w:val="00292145"/>
    <w:rsid w:val="00294962"/>
    <w:rsid w:val="002A6FA7"/>
    <w:rsid w:val="002C6188"/>
    <w:rsid w:val="002E27B5"/>
    <w:rsid w:val="003268C8"/>
    <w:rsid w:val="00331147"/>
    <w:rsid w:val="00333C0E"/>
    <w:rsid w:val="00345326"/>
    <w:rsid w:val="00345E62"/>
    <w:rsid w:val="0036303D"/>
    <w:rsid w:val="003A2F55"/>
    <w:rsid w:val="003C1798"/>
    <w:rsid w:val="003E1AE6"/>
    <w:rsid w:val="003F33D6"/>
    <w:rsid w:val="004403DA"/>
    <w:rsid w:val="0044706F"/>
    <w:rsid w:val="00480A93"/>
    <w:rsid w:val="004A0754"/>
    <w:rsid w:val="004B45CB"/>
    <w:rsid w:val="004C4CDA"/>
    <w:rsid w:val="005023D3"/>
    <w:rsid w:val="00504461"/>
    <w:rsid w:val="0054061F"/>
    <w:rsid w:val="00552A7A"/>
    <w:rsid w:val="005F388D"/>
    <w:rsid w:val="0060246B"/>
    <w:rsid w:val="0063596C"/>
    <w:rsid w:val="00666473"/>
    <w:rsid w:val="006C5138"/>
    <w:rsid w:val="006F47F6"/>
    <w:rsid w:val="006F4C4A"/>
    <w:rsid w:val="0070474D"/>
    <w:rsid w:val="00720460"/>
    <w:rsid w:val="00730DCA"/>
    <w:rsid w:val="00764B99"/>
    <w:rsid w:val="00770A86"/>
    <w:rsid w:val="00774A47"/>
    <w:rsid w:val="007D061F"/>
    <w:rsid w:val="008253E9"/>
    <w:rsid w:val="00853544"/>
    <w:rsid w:val="00950686"/>
    <w:rsid w:val="00954F6C"/>
    <w:rsid w:val="0097704B"/>
    <w:rsid w:val="00980381"/>
    <w:rsid w:val="009E3E79"/>
    <w:rsid w:val="00A064A7"/>
    <w:rsid w:val="00A34229"/>
    <w:rsid w:val="00A649A7"/>
    <w:rsid w:val="00A807BA"/>
    <w:rsid w:val="00A90E8E"/>
    <w:rsid w:val="00A95F19"/>
    <w:rsid w:val="00AC42BC"/>
    <w:rsid w:val="00B05960"/>
    <w:rsid w:val="00B42705"/>
    <w:rsid w:val="00B51334"/>
    <w:rsid w:val="00B70BFF"/>
    <w:rsid w:val="00C037DB"/>
    <w:rsid w:val="00C11471"/>
    <w:rsid w:val="00C12DC0"/>
    <w:rsid w:val="00C26744"/>
    <w:rsid w:val="00C55131"/>
    <w:rsid w:val="00C90E07"/>
    <w:rsid w:val="00C91F2F"/>
    <w:rsid w:val="00C97E38"/>
    <w:rsid w:val="00CB55A2"/>
    <w:rsid w:val="00CB6388"/>
    <w:rsid w:val="00CD2E71"/>
    <w:rsid w:val="00D70BB5"/>
    <w:rsid w:val="00D921A5"/>
    <w:rsid w:val="00D957D3"/>
    <w:rsid w:val="00DD3B1A"/>
    <w:rsid w:val="00E07B6B"/>
    <w:rsid w:val="00E123CA"/>
    <w:rsid w:val="00E16CCC"/>
    <w:rsid w:val="00E20CB9"/>
    <w:rsid w:val="00E24A05"/>
    <w:rsid w:val="00E25FDC"/>
    <w:rsid w:val="00E8253A"/>
    <w:rsid w:val="00E94763"/>
    <w:rsid w:val="00E96429"/>
    <w:rsid w:val="00ED5757"/>
    <w:rsid w:val="00ED6040"/>
    <w:rsid w:val="00ED7048"/>
    <w:rsid w:val="00EE50D4"/>
    <w:rsid w:val="00EE6968"/>
    <w:rsid w:val="00F52670"/>
    <w:rsid w:val="00FC0956"/>
    <w:rsid w:val="00FE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094D"/>
    <w:rPr>
      <w:rFonts w:ascii="Tahoma" w:hAnsi="Tahoma" w:cs="Tahoma"/>
      <w:spacing w:val="4"/>
      <w:sz w:val="16"/>
      <w:szCs w:val="16"/>
      <w:lang w:val="en-GB" w:eastAsia="en-US" w:bidi="ne-IN"/>
    </w:rPr>
  </w:style>
  <w:style w:type="paragraph" w:styleId="Titre1">
    <w:name w:val="heading 1"/>
    <w:basedOn w:val="Normal"/>
    <w:next w:val="Normal"/>
    <w:qFormat/>
    <w:rsid w:val="0026094D"/>
    <w:pPr>
      <w:outlineLvl w:val="0"/>
    </w:pPr>
    <w:rPr>
      <w:sz w:val="40"/>
      <w:szCs w:val="40"/>
    </w:rPr>
  </w:style>
  <w:style w:type="paragraph" w:styleId="Titre2">
    <w:name w:val="heading 2"/>
    <w:basedOn w:val="Titre1"/>
    <w:next w:val="Normal"/>
    <w:qFormat/>
    <w:rsid w:val="0026094D"/>
    <w:pPr>
      <w:outlineLvl w:val="1"/>
    </w:pPr>
    <w:rPr>
      <w:sz w:val="24"/>
      <w:szCs w:val="24"/>
    </w:rPr>
  </w:style>
  <w:style w:type="paragraph" w:styleId="Titre3">
    <w:name w:val="heading 3"/>
    <w:basedOn w:val="Titre1"/>
    <w:next w:val="Normal"/>
    <w:qFormat/>
    <w:rsid w:val="0026094D"/>
    <w:pPr>
      <w:outlineLvl w:val="2"/>
    </w:pPr>
    <w:rPr>
      <w:caps/>
      <w:color w:val="999999"/>
      <w:sz w:val="32"/>
      <w:szCs w:val="32"/>
    </w:rPr>
  </w:style>
  <w:style w:type="paragraph" w:styleId="Titre4">
    <w:name w:val="heading 4"/>
    <w:basedOn w:val="Normal"/>
    <w:next w:val="Normal"/>
    <w:qFormat/>
    <w:rsid w:val="0026094D"/>
    <w:pPr>
      <w:framePr w:hSpace="187" w:wrap="around" w:vAnchor="page" w:hAnchor="page" w:xAlign="center" w:y="1441"/>
      <w:outlineLvl w:val="3"/>
    </w:pPr>
    <w:rPr>
      <w:caps/>
    </w:rPr>
  </w:style>
  <w:style w:type="paragraph" w:styleId="Titre5">
    <w:name w:val="heading 5"/>
    <w:basedOn w:val="Normal"/>
    <w:next w:val="Normal"/>
    <w:qFormat/>
    <w:rsid w:val="0026094D"/>
    <w:pPr>
      <w:jc w:val="right"/>
      <w:outlineLvl w:val="4"/>
    </w:pPr>
    <w:rPr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26094D"/>
    <w:rPr>
      <w:rFonts w:cs="Times New Roman"/>
    </w:rPr>
  </w:style>
  <w:style w:type="paragraph" w:customStyle="1" w:styleId="AllCapsHeading">
    <w:name w:val="All Caps Heading"/>
    <w:basedOn w:val="Normal"/>
    <w:rsid w:val="0026094D"/>
    <w:rPr>
      <w:b/>
      <w:caps/>
      <w:color w:val="808080"/>
      <w:sz w:val="14"/>
      <w:szCs w:val="14"/>
      <w:lang w:val="en-US" w:bidi="en-US"/>
    </w:rPr>
  </w:style>
  <w:style w:type="table" w:styleId="Grilledutableau">
    <w:name w:val="Table Grid"/>
    <w:basedOn w:val="TableauNormal"/>
    <w:rsid w:val="00157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E27B5"/>
    <w:pPr>
      <w:ind w:left="720"/>
      <w:contextualSpacing/>
    </w:pPr>
    <w:rPr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file:///\\prsfp02.fr.perenco.com\user\pairis\_documentation\project%20doc\Architecture%20schema%20for%20Peru%20Logistic%20module%202010-01-04.vs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CD215.tmp\Compte-rendu%20de%20r&#233;un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Compte-rendu de réunion.dot</Template>
  <TotalTime>1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Réunion de suivi de l’avant-projet pour le site Wells reference</vt:lpstr>
    </vt:vector>
  </TitlesOfParts>
  <Manager/>
  <Company>Microsoft Corporation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Réunion de suivi de l’avant-projet pour le site Wells reference</dc:title>
  <dc:subject/>
  <dc:creator>pairis</dc:creator>
  <cp:keywords/>
  <dc:description/>
  <cp:lastModifiedBy>Pairis</cp:lastModifiedBy>
  <cp:revision>2</cp:revision>
  <cp:lastPrinted>2004-01-21T12:22:00Z</cp:lastPrinted>
  <dcterms:created xsi:type="dcterms:W3CDTF">2010-01-04T17:14:00Z</dcterms:created>
  <dcterms:modified xsi:type="dcterms:W3CDTF">2010-01-04T17:14:00Z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TC010184111036</vt:lpwstr>
  </property>
</Properties>
</file>